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935"/>
        <w:gridCol w:w="5179"/>
        <w:gridCol w:w="173"/>
        <w:gridCol w:w="98"/>
        <w:gridCol w:w="407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825AB"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90F1815" w:rsidR="00093CA9" w:rsidRPr="006C4647" w:rsidRDefault="00DB2F05" w:rsidP="00093CA9">
            <w:pPr>
              <w:rPr>
                <w:lang w:val="es-ES"/>
              </w:rPr>
            </w:pPr>
            <w:proofErr w:type="spellStart"/>
            <w:r w:rsidRPr="006C4647">
              <w:rPr>
                <w:lang w:val="es-ES"/>
              </w:rPr>
              <w:t>Biofuels</w:t>
            </w:r>
            <w:proofErr w:type="spellEnd"/>
            <w:r w:rsidRPr="006C4647">
              <w:rPr>
                <w:lang w:val="es-ES"/>
              </w:rPr>
              <w:t xml:space="preserve"> </w:t>
            </w:r>
            <w:proofErr w:type="spellStart"/>
            <w:r w:rsidRPr="006C4647">
              <w:rPr>
                <w:lang w:val="es-ES"/>
              </w:rPr>
              <w:t>Law</w:t>
            </w:r>
            <w:proofErr w:type="spellEnd"/>
            <w:r w:rsidRPr="006C4647">
              <w:rPr>
                <w:lang w:val="es-ES"/>
              </w:rPr>
              <w:t xml:space="preserve"> (Ley de Biocombustibles)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4530284" w:rsidR="00093CA9" w:rsidRDefault="006C4647" w:rsidP="00093CA9">
            <w:hyperlink r:id="rId17" w:history="1">
              <w:r w:rsidRPr="001A5ED2">
                <w:rPr>
                  <w:rStyle w:val="Hyperlink"/>
                </w:rPr>
                <w:t>https://web.archive.org/web/20250617213608/http://www.diputados.gob.mx/LeyesBiblio/pdf/LBio.pdf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A26D2F3" w:rsidR="00093CA9" w:rsidRDefault="00161CB9"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31BA5EF"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7421B3B" w14:textId="77777777" w:rsidR="00093CA9" w:rsidRDefault="006C4647" w:rsidP="00093CA9">
            <w:r>
              <w:t xml:space="preserve">The Biofuels Law (Ley de Biocombustibles) is a federal law that regulates and seeks to promote sustainable development of biofuels with the objective of contributing to energetic independence and energetic justice, as well as diversification of energy sources in energy transition. </w:t>
            </w:r>
            <w:r w:rsidRPr="006C4647">
              <w:t>This law is of public order, general interest and of mandatory observance throughout the national territory</w:t>
            </w:r>
            <w:r>
              <w:t xml:space="preserve">. </w:t>
            </w:r>
          </w:p>
          <w:p w14:paraId="0B52E7F5" w14:textId="354E5047" w:rsidR="00834523" w:rsidRPr="00834523" w:rsidRDefault="00834523" w:rsidP="00834523">
            <w:pPr>
              <w:rPr>
                <w:lang w:val="en-US"/>
              </w:rPr>
            </w:pPr>
            <w:r>
              <w:t xml:space="preserve">This Law seeks to contribute to reduce </w:t>
            </w:r>
            <w:r w:rsidRPr="00834523">
              <w:t>emissions of pollutants into the atmosphere</w:t>
            </w:r>
            <w:r>
              <w:t xml:space="preserve"> by promoting </w:t>
            </w:r>
            <w:r w:rsidRPr="00834523">
              <w:rPr>
                <w:lang w:val="en-US"/>
              </w:rPr>
              <w:t xml:space="preserve">the use and valorization of organic waste </w:t>
            </w:r>
            <w:proofErr w:type="gramStart"/>
            <w:r w:rsidRPr="00834523">
              <w:rPr>
                <w:lang w:val="en-US"/>
              </w:rPr>
              <w:t>for the production of</w:t>
            </w:r>
            <w:proofErr w:type="gramEnd"/>
            <w:r>
              <w:rPr>
                <w:lang w:val="en-US"/>
              </w:rPr>
              <w:t xml:space="preserve"> </w:t>
            </w:r>
            <w:r w:rsidRPr="00834523">
              <w:rPr>
                <w:lang w:val="en-US"/>
              </w:rPr>
              <w:t>Biofuels</w:t>
            </w:r>
            <w:r>
              <w:rPr>
                <w:lang w:val="en-US"/>
              </w:rPr>
              <w:t xml:space="preserve">, as well as the sustainable production of Biomass. It provides a framework of attributions for coordinated action between federal government dependencies. It also provides a framework of instruments for </w:t>
            </w:r>
            <w:r w:rsidRPr="00834523">
              <w:rPr>
                <w:lang w:val="en-US"/>
              </w:rPr>
              <w:t>Sustainable Biofuels Development</w:t>
            </w:r>
            <w:r>
              <w:rPr>
                <w:lang w:val="en-US"/>
              </w:rPr>
              <w:t xml:space="preserve"> as well as </w:t>
            </w:r>
            <w:r w:rsidRPr="00834523">
              <w:rPr>
                <w:lang w:val="en-US"/>
              </w:rPr>
              <w:t xml:space="preserve">Instruments for </w:t>
            </w:r>
            <w:r>
              <w:rPr>
                <w:lang w:val="en-US"/>
              </w:rPr>
              <w:t xml:space="preserve">the </w:t>
            </w:r>
            <w:r w:rsidRPr="00834523">
              <w:rPr>
                <w:lang w:val="en-US"/>
              </w:rPr>
              <w:t>Promotion</w:t>
            </w:r>
            <w:r>
              <w:rPr>
                <w:lang w:val="en-US"/>
              </w:rPr>
              <w:t xml:space="preserve"> of the use of Biofuels. </w:t>
            </w:r>
          </w:p>
          <w:p w14:paraId="18257824" w14:textId="069949A5" w:rsidR="006C4647" w:rsidRPr="00834523" w:rsidRDefault="006C4647" w:rsidP="00093CA9">
            <w:pPr>
              <w:rPr>
                <w:lang w:val="en-US"/>
              </w:rPr>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E2CBD03" w:rsidR="00093CA9" w:rsidRDefault="006C464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43A2319" w:rsidR="00093CA9" w:rsidRPr="00173D7C" w:rsidRDefault="006C4647"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A737E2A" w:rsidR="00093CA9" w:rsidRDefault="006C4647"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C4647"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F363331" w:rsidR="00093CA9" w:rsidRPr="006C4647" w:rsidRDefault="006C4647" w:rsidP="00093CA9">
            <w:pPr>
              <w:rPr>
                <w:lang w:val="es-ES"/>
              </w:rPr>
            </w:pPr>
            <w:proofErr w:type="spellStart"/>
            <w:r w:rsidRPr="006C4647">
              <w:rPr>
                <w:lang w:val="es-ES"/>
              </w:rPr>
              <w:t>Ministry</w:t>
            </w:r>
            <w:proofErr w:type="spellEnd"/>
            <w:r w:rsidRPr="006C4647">
              <w:rPr>
                <w:lang w:val="es-ES"/>
              </w:rPr>
              <w:t xml:space="preserve"> </w:t>
            </w:r>
            <w:proofErr w:type="spellStart"/>
            <w:r w:rsidRPr="006C4647">
              <w:rPr>
                <w:lang w:val="es-ES"/>
              </w:rPr>
              <w:t>of</w:t>
            </w:r>
            <w:proofErr w:type="spellEnd"/>
            <w:r w:rsidRPr="006C4647">
              <w:rPr>
                <w:lang w:val="es-ES"/>
              </w:rPr>
              <w:t xml:space="preserve"> Energy (Secretaría de En</w:t>
            </w:r>
            <w:r>
              <w:rPr>
                <w:lang w:val="es-ES"/>
              </w:rPr>
              <w:t>ergía)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BBBFDFA" w:rsidR="00093CA9" w:rsidRPr="006B7B0D" w:rsidRDefault="006C464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825AB"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8C23F33" w:rsidR="00093CA9" w:rsidRPr="006C4647" w:rsidRDefault="006C4647" w:rsidP="00093CA9">
            <w:pPr>
              <w:rPr>
                <w:lang w:val="es-ES"/>
              </w:rPr>
            </w:pPr>
            <w:proofErr w:type="spellStart"/>
            <w:r w:rsidRPr="006C4647">
              <w:rPr>
                <w:lang w:val="es-ES"/>
              </w:rPr>
              <w:t>Ministry</w:t>
            </w:r>
            <w:proofErr w:type="spellEnd"/>
            <w:r w:rsidRPr="006C4647">
              <w:rPr>
                <w:lang w:val="es-ES"/>
              </w:rPr>
              <w:t xml:space="preserve"> </w:t>
            </w:r>
            <w:proofErr w:type="spellStart"/>
            <w:r w:rsidRPr="006C4647">
              <w:rPr>
                <w:lang w:val="es-ES"/>
              </w:rPr>
              <w:t>of</w:t>
            </w:r>
            <w:proofErr w:type="spellEnd"/>
            <w:r w:rsidRPr="006C4647">
              <w:rPr>
                <w:lang w:val="es-ES"/>
              </w:rPr>
              <w:t xml:space="preserve"> </w:t>
            </w:r>
            <w:proofErr w:type="spellStart"/>
            <w:r w:rsidRPr="006C4647">
              <w:rPr>
                <w:lang w:val="es-ES"/>
              </w:rPr>
              <w:t>Environment</w:t>
            </w:r>
            <w:proofErr w:type="spellEnd"/>
            <w:r w:rsidRPr="006C4647">
              <w:rPr>
                <w:lang w:val="es-ES"/>
              </w:rPr>
              <w:t xml:space="preserve"> and Natural </w:t>
            </w:r>
            <w:proofErr w:type="spellStart"/>
            <w:r w:rsidRPr="006C4647">
              <w:rPr>
                <w:lang w:val="es-ES"/>
              </w:rPr>
              <w:t>Resources</w:t>
            </w:r>
            <w:proofErr w:type="spellEnd"/>
            <w:r w:rsidRPr="006C4647">
              <w:rPr>
                <w:lang w:val="es-ES"/>
              </w:rPr>
              <w:t xml:space="preserve"> (Secretaría de Medio Ambiente y Recurso</w:t>
            </w:r>
            <w:r>
              <w:rPr>
                <w:lang w:val="es-ES"/>
              </w:rPr>
              <w:t>s Naturales)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EFF6290" w:rsidR="00093CA9" w:rsidRPr="006B7B0D" w:rsidRDefault="006C4647"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FCFBE9A" w:rsidR="00093CA9" w:rsidRPr="006B7B0D" w:rsidRDefault="00E9684C" w:rsidP="00093CA9">
            <w:r>
              <w:t>Ministry of Agriculture and Rural Development (</w:t>
            </w:r>
            <w:proofErr w:type="spellStart"/>
            <w:r>
              <w:t>Secretaría</w:t>
            </w:r>
            <w:proofErr w:type="spellEnd"/>
            <w:r>
              <w:t xml:space="preserve"> de Agricultura y Desarrollo Rural) </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4FCFDE34" w:rsidR="00093CA9" w:rsidRPr="006B7B0D" w:rsidRDefault="00E9684C"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5AAE2A1C" w:rsidR="00093CA9" w:rsidRDefault="00C05340" w:rsidP="00093CA9">
            <w:r>
              <w:t xml:space="preserve">Listed entities have the authority to impose fines, as well as other administrative sanctions upon breach of the provisions of the law.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F163159" w:rsidR="00093CA9" w:rsidRDefault="00E9684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11584A"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096450F" w14:textId="7CE46251" w:rsidR="00C05340" w:rsidRDefault="00E9684C" w:rsidP="00093CA9">
            <w:pPr>
              <w:keepNext/>
              <w:rPr>
                <w:color w:val="000000" w:themeColor="text1"/>
              </w:rPr>
            </w:pPr>
            <w:r>
              <w:rPr>
                <w:color w:val="000000" w:themeColor="text1"/>
              </w:rPr>
              <w:t xml:space="preserve">Article </w:t>
            </w:r>
            <w:r w:rsidR="00C05340">
              <w:rPr>
                <w:color w:val="000000" w:themeColor="text1"/>
              </w:rPr>
              <w:t>2</w:t>
            </w:r>
            <w:r>
              <w:rPr>
                <w:color w:val="000000" w:themeColor="text1"/>
              </w:rPr>
              <w:t xml:space="preserve"> of the Law provides that </w:t>
            </w:r>
            <w:r w:rsidR="00C05340">
              <w:rPr>
                <w:color w:val="000000" w:themeColor="text1"/>
              </w:rPr>
              <w:t xml:space="preserve">three registries shall be implemented: </w:t>
            </w:r>
          </w:p>
          <w:p w14:paraId="518D0FA7" w14:textId="19286ACF" w:rsidR="00C05340" w:rsidRDefault="00C05340" w:rsidP="00C05340">
            <w:pPr>
              <w:pStyle w:val="ListParagraph"/>
              <w:keepNext/>
              <w:numPr>
                <w:ilvl w:val="0"/>
                <w:numId w:val="50"/>
              </w:numPr>
              <w:rPr>
                <w:color w:val="000000" w:themeColor="text1"/>
                <w:lang w:val="en-US"/>
              </w:rPr>
            </w:pPr>
            <w:r w:rsidRPr="00C05340">
              <w:rPr>
                <w:color w:val="000000" w:themeColor="text1"/>
                <w:lang w:val="en-US"/>
              </w:rPr>
              <w:t>Biofuels Log (</w:t>
            </w:r>
            <w:proofErr w:type="spellStart"/>
            <w:r w:rsidRPr="00C05340">
              <w:rPr>
                <w:color w:val="000000" w:themeColor="text1"/>
                <w:lang w:val="en-US"/>
              </w:rPr>
              <w:t>Bitácora</w:t>
            </w:r>
            <w:proofErr w:type="spellEnd"/>
            <w:r w:rsidRPr="00C05340">
              <w:rPr>
                <w:color w:val="000000" w:themeColor="text1"/>
                <w:lang w:val="en-US"/>
              </w:rPr>
              <w:t>): Reports through which permit holders must report information in relation to their activities to the Ministry of Energy</w:t>
            </w:r>
            <w:r>
              <w:rPr>
                <w:color w:val="000000" w:themeColor="text1"/>
                <w:lang w:val="en-US"/>
              </w:rPr>
              <w:t>.</w:t>
            </w:r>
          </w:p>
          <w:p w14:paraId="2735AF6A" w14:textId="44E4870B" w:rsidR="00C05340" w:rsidRDefault="0011584A" w:rsidP="00C05340">
            <w:pPr>
              <w:pStyle w:val="ListParagraph"/>
              <w:keepNext/>
              <w:numPr>
                <w:ilvl w:val="0"/>
                <w:numId w:val="50"/>
              </w:numPr>
              <w:rPr>
                <w:color w:val="000000" w:themeColor="text1"/>
                <w:lang w:val="en-US"/>
              </w:rPr>
            </w:pPr>
            <w:r>
              <w:rPr>
                <w:color w:val="000000" w:themeColor="text1"/>
                <w:lang w:val="en-US"/>
              </w:rPr>
              <w:t>Registry (</w:t>
            </w:r>
            <w:proofErr w:type="spellStart"/>
            <w:r>
              <w:rPr>
                <w:color w:val="000000" w:themeColor="text1"/>
                <w:lang w:val="en-US"/>
              </w:rPr>
              <w:t>Registro</w:t>
            </w:r>
            <w:proofErr w:type="spellEnd"/>
            <w:r>
              <w:rPr>
                <w:color w:val="000000" w:themeColor="text1"/>
                <w:lang w:val="en-US"/>
              </w:rPr>
              <w:t xml:space="preserve">): A registry system for permit tracking. </w:t>
            </w:r>
          </w:p>
          <w:p w14:paraId="1F641BE0" w14:textId="144D589F" w:rsidR="0011584A" w:rsidRPr="0011584A" w:rsidRDefault="0011584A" w:rsidP="00C05340">
            <w:pPr>
              <w:pStyle w:val="ListParagraph"/>
              <w:keepNext/>
              <w:numPr>
                <w:ilvl w:val="0"/>
                <w:numId w:val="50"/>
              </w:numPr>
              <w:rPr>
                <w:color w:val="000000" w:themeColor="text1"/>
                <w:lang w:val="en-US"/>
              </w:rPr>
            </w:pPr>
            <w:r w:rsidRPr="0011584A">
              <w:rPr>
                <w:color w:val="000000" w:themeColor="text1"/>
                <w:lang w:val="en-US"/>
              </w:rPr>
              <w:t>Subsystem (</w:t>
            </w:r>
            <w:proofErr w:type="spellStart"/>
            <w:r w:rsidRPr="0011584A">
              <w:rPr>
                <w:color w:val="000000" w:themeColor="text1"/>
                <w:lang w:val="en-US"/>
              </w:rPr>
              <w:t>Subsistema</w:t>
            </w:r>
            <w:proofErr w:type="spellEnd"/>
            <w:r w:rsidRPr="0011584A">
              <w:rPr>
                <w:color w:val="000000" w:themeColor="text1"/>
                <w:lang w:val="en-US"/>
              </w:rPr>
              <w:t>): A b</w:t>
            </w:r>
            <w:r>
              <w:rPr>
                <w:color w:val="000000" w:themeColor="text1"/>
                <w:lang w:val="en-US"/>
              </w:rPr>
              <w:t>iofuels’ information system, that will be administered by the Ministry of Energy and form a part of the National Energy Information System.</w:t>
            </w:r>
          </w:p>
          <w:p w14:paraId="17DD4467" w14:textId="77777777" w:rsidR="00E9684C" w:rsidRDefault="0011584A" w:rsidP="00093CA9">
            <w:pPr>
              <w:keepNext/>
              <w:rPr>
                <w:color w:val="000000" w:themeColor="text1"/>
                <w:lang w:val="en-US"/>
              </w:rPr>
            </w:pPr>
            <w:r w:rsidRPr="0011584A">
              <w:rPr>
                <w:color w:val="000000" w:themeColor="text1"/>
                <w:lang w:val="en-US"/>
              </w:rPr>
              <w:t>Article 5, subsection VIII provides that the Ministry of Energy has the att</w:t>
            </w:r>
            <w:r>
              <w:rPr>
                <w:color w:val="000000" w:themeColor="text1"/>
                <w:lang w:val="en-US"/>
              </w:rPr>
              <w:t>ribution to incorporate information on the use of biofuels to the National Energy Balance and Prospective Energy Scenarios (</w:t>
            </w:r>
            <w:r w:rsidRPr="0011584A">
              <w:rPr>
                <w:color w:val="000000" w:themeColor="text1"/>
                <w:lang w:val="en-US"/>
              </w:rPr>
              <w:t xml:space="preserve">Balance Nacional de Energía y </w:t>
            </w:r>
            <w:proofErr w:type="spellStart"/>
            <w:r w:rsidRPr="0011584A">
              <w:rPr>
                <w:color w:val="000000" w:themeColor="text1"/>
                <w:lang w:val="en-US"/>
              </w:rPr>
              <w:t>Escenarios</w:t>
            </w:r>
            <w:proofErr w:type="spellEnd"/>
            <w:r w:rsidRPr="0011584A">
              <w:rPr>
                <w:color w:val="000000" w:themeColor="text1"/>
                <w:lang w:val="en-US"/>
              </w:rPr>
              <w:t xml:space="preserve"> </w:t>
            </w:r>
            <w:proofErr w:type="spellStart"/>
            <w:r w:rsidRPr="0011584A">
              <w:rPr>
                <w:color w:val="000000" w:themeColor="text1"/>
                <w:lang w:val="en-US"/>
              </w:rPr>
              <w:t>Prospectivos</w:t>
            </w:r>
            <w:proofErr w:type="spellEnd"/>
            <w:r w:rsidRPr="0011584A">
              <w:rPr>
                <w:color w:val="000000" w:themeColor="text1"/>
                <w:lang w:val="en-US"/>
              </w:rPr>
              <w:t xml:space="preserve"> de Energía</w:t>
            </w:r>
            <w:r>
              <w:rPr>
                <w:color w:val="000000" w:themeColor="text1"/>
                <w:lang w:val="en-US"/>
              </w:rPr>
              <w:t>), as well as to evaluate its impact at the Energy Planning Council (</w:t>
            </w:r>
            <w:r w:rsidRPr="0011584A">
              <w:rPr>
                <w:color w:val="000000" w:themeColor="text1"/>
                <w:lang w:val="en-US"/>
              </w:rPr>
              <w:t xml:space="preserve">Consejo para la </w:t>
            </w:r>
            <w:proofErr w:type="spellStart"/>
            <w:r w:rsidRPr="0011584A">
              <w:rPr>
                <w:color w:val="000000" w:themeColor="text1"/>
                <w:lang w:val="en-US"/>
              </w:rPr>
              <w:t>Planeación</w:t>
            </w:r>
            <w:proofErr w:type="spellEnd"/>
            <w:r w:rsidRPr="0011584A">
              <w:rPr>
                <w:color w:val="000000" w:themeColor="text1"/>
                <w:lang w:val="en-US"/>
              </w:rPr>
              <w:t xml:space="preserve"> Energética</w:t>
            </w:r>
            <w:r>
              <w:rPr>
                <w:color w:val="000000" w:themeColor="text1"/>
                <w:lang w:val="en-US"/>
              </w:rPr>
              <w:t>).</w:t>
            </w:r>
          </w:p>
          <w:p w14:paraId="2C2128DB" w14:textId="5A955C04" w:rsidR="0011584A" w:rsidRPr="0011584A" w:rsidRDefault="0011584A" w:rsidP="00093CA9">
            <w:pPr>
              <w:keepNext/>
              <w:rPr>
                <w:color w:val="000000" w:themeColor="text1"/>
                <w:lang w:val="en-US"/>
              </w:rPr>
            </w:pPr>
            <w:r>
              <w:rPr>
                <w:color w:val="000000" w:themeColor="text1"/>
                <w:lang w:val="en-US"/>
              </w:rPr>
              <w:t xml:space="preserve">It is noteworthy to mention that the Biofuels Law entered into force </w:t>
            </w:r>
            <w:proofErr w:type="gramStart"/>
            <w:r>
              <w:rPr>
                <w:color w:val="000000" w:themeColor="text1"/>
                <w:lang w:val="en-US"/>
              </w:rPr>
              <w:t>on</w:t>
            </w:r>
            <w:proofErr w:type="gramEnd"/>
            <w:r>
              <w:rPr>
                <w:color w:val="000000" w:themeColor="text1"/>
                <w:lang w:val="en-US"/>
              </w:rPr>
              <w:t xml:space="preserve"> March 2025. In its transitory regime it provides that </w:t>
            </w:r>
            <w:r w:rsidRPr="0011584A">
              <w:rPr>
                <w:color w:val="000000" w:themeColor="text1"/>
                <w:lang w:val="en-US"/>
              </w:rPr>
              <w:t>The Federal Executive must issue the Regulations of this Law within 180 days following the date of its entry into forc</w:t>
            </w:r>
            <w:r>
              <w:rPr>
                <w:color w:val="000000" w:themeColor="text1"/>
                <w:lang w:val="en-US"/>
              </w:rPr>
              <w:t>e</w:t>
            </w:r>
            <w:r w:rsidRPr="0011584A">
              <w:rPr>
                <w:color w:val="000000" w:themeColor="text1"/>
                <w:lang w:val="en-US"/>
              </w:rPr>
              <w:t xml:space="preserve"> (f</w:t>
            </w:r>
            <w:r>
              <w:rPr>
                <w:color w:val="000000" w:themeColor="text1"/>
                <w:lang w:val="en-US"/>
              </w:rPr>
              <w:t>ourth transitory article)</w:t>
            </w:r>
            <w:r w:rsidR="00F07F87">
              <w:rPr>
                <w:color w:val="000000" w:themeColor="text1"/>
                <w:lang w:val="en-US"/>
              </w:rPr>
              <w:t xml:space="preserve"> and as of the date of completion of the survey, such Regulation has not been issued. Article 37 of the Law states that such Regulation will provide the necessary guidelines to comply with registration obligations. Hence, the complete legal framework</w:t>
            </w:r>
            <w:r w:rsidR="00F07F87" w:rsidRPr="00F07F87">
              <w:rPr>
                <w:color w:val="000000" w:themeColor="text1"/>
                <w:lang w:val="en-US"/>
              </w:rPr>
              <w:t xml:space="preserve"> to make this law operative is still pending issuanc</w:t>
            </w:r>
            <w:r w:rsidR="00F07F87">
              <w:rPr>
                <w:color w:val="000000" w:themeColor="text1"/>
                <w:lang w:val="en-US"/>
              </w:rPr>
              <w:t>e.</w:t>
            </w:r>
          </w:p>
        </w:tc>
      </w:tr>
    </w:tbl>
    <w:p w14:paraId="6F36141D" w14:textId="193F21DA" w:rsidR="005F3137" w:rsidRPr="0011584A" w:rsidRDefault="005F3137">
      <w:pPr>
        <w:rPr>
          <w:lang w:val="en-US"/>
        </w:rPr>
      </w:pPr>
    </w:p>
    <w:p w14:paraId="4E5E0234" w14:textId="5F707638" w:rsidR="00A40404" w:rsidRDefault="005E50FD" w:rsidP="00A40404">
      <w:pPr>
        <w:pStyle w:val="Heading1"/>
      </w:pPr>
      <w:r w:rsidRPr="0011584A">
        <w:rPr>
          <w:lang w:val="en-US"/>
        </w:rP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E202D1F" w:rsidR="00C4670C" w:rsidRPr="00C37D48" w:rsidRDefault="00A51E61"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1A66C393" w:rsidR="00C4670C" w:rsidRPr="00C37D48" w:rsidRDefault="00A51E61"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36998C5" w:rsidR="00C4670C" w:rsidRPr="00C37D48" w:rsidRDefault="00A51E61"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516AA83" w:rsidR="00C4670C" w:rsidRPr="00C37D48" w:rsidRDefault="00A51E61"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19841A0" w:rsidR="00C4670C" w:rsidRPr="00C37D48" w:rsidRDefault="00A51E61"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91A6F65" w:rsidR="00C4670C" w:rsidRPr="00C37D48" w:rsidRDefault="00A51E61"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536FB45C" w:rsidR="00C4670C" w:rsidRPr="00C37D48" w:rsidRDefault="00A51E61"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86D5364" w:rsidR="00C4670C" w:rsidRPr="00C37D48" w:rsidRDefault="00A51E61"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592C391B" w:rsidR="00C4670C" w:rsidRPr="00C37D48" w:rsidRDefault="00A51E61"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A1C4A9A" w:rsidR="00C4670C" w:rsidRPr="00C37D48" w:rsidRDefault="00A51E61"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5630281E" w:rsidR="00C4670C" w:rsidRPr="00C37D48" w:rsidRDefault="00A51E61"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07FEA1B" w:rsidR="00C4670C" w:rsidRPr="00C37D48" w:rsidRDefault="00A51E61"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01C4631D" w:rsidR="004F276F" w:rsidRPr="00C37D48" w:rsidRDefault="00D650D9"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61AF1ED" w:rsidR="004F276F" w:rsidRPr="00C37D48" w:rsidRDefault="00D650D9"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32BFF940" w:rsidR="004F276F" w:rsidRPr="00C37D48" w:rsidRDefault="00D650D9"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09C9E92A" w:rsidR="004F276F" w:rsidRPr="00C37D48" w:rsidRDefault="00D650D9"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2202ACBA" w:rsidR="004F276F" w:rsidRPr="00C37D48" w:rsidRDefault="00D650D9"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5BA92573" w:rsidR="004F276F" w:rsidRPr="00C37D48" w:rsidRDefault="00D650D9"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30E8A5E" w:rsidR="004F276F" w:rsidRPr="00C37D48" w:rsidRDefault="00D650D9"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05419378" w:rsidR="004F276F" w:rsidRPr="00C37D48" w:rsidRDefault="00D650D9"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5FDEE69A" w:rsidR="004F276F" w:rsidRPr="00C37D48" w:rsidRDefault="00D650D9"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FC30DD4" w:rsidR="004F276F" w:rsidRPr="00C37D48" w:rsidRDefault="00D650D9"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38F65070" w:rsidR="004F276F" w:rsidRPr="00C37D48" w:rsidRDefault="00D650D9"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5C78AB08" w:rsidR="004F276F" w:rsidRPr="00C37D48" w:rsidRDefault="00D650D9"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1C4643A6" w:rsidR="004F276F" w:rsidRPr="00C37D48" w:rsidRDefault="00D650D9"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4E9E06CE" w:rsidR="004F276F" w:rsidRPr="00C37D48" w:rsidRDefault="00D650D9"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1F77DBF6" w:rsidR="004F276F" w:rsidRPr="00C37D48" w:rsidRDefault="00D650D9"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43E3F03" w:rsidR="004F276F" w:rsidRPr="00C37D48" w:rsidRDefault="00D650D9"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3043D57" w:rsidR="004F276F" w:rsidRPr="00C37D48" w:rsidRDefault="00D650D9"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4B217FD" w:rsidR="004F276F" w:rsidRPr="00C37D48" w:rsidRDefault="00D650D9"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23D0F6A" w:rsidR="004F276F" w:rsidRPr="00C37D48" w:rsidRDefault="00D650D9"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F4EEF3F" w:rsidR="004F276F" w:rsidRPr="00C37D48" w:rsidRDefault="00D650D9"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B8532F2" w:rsidR="004F276F" w:rsidRPr="00C37D48" w:rsidRDefault="00D650D9"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6B4CF0F2" w:rsidR="004F276F" w:rsidRPr="00C37D48" w:rsidRDefault="00D650D9" w:rsidP="00C37D48">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516265A" w14:textId="7D78507B" w:rsidR="003C74F1" w:rsidRDefault="003C74F1" w:rsidP="00C37D48">
            <w:pPr>
              <w:rPr>
                <w:rFonts w:ascii="Calibri" w:hAnsi="Calibri" w:cs="Calibri"/>
              </w:rPr>
            </w:pPr>
            <w:r>
              <w:rPr>
                <w:rFonts w:ascii="Calibri" w:hAnsi="Calibri" w:cs="Calibri"/>
              </w:rPr>
              <w:t>The Biofuels Law does not establish sector specific regulations. However, it distinguishes between 2 different types of activities that require a permit: (</w:t>
            </w:r>
            <w:proofErr w:type="spellStart"/>
            <w:r>
              <w:rPr>
                <w:rFonts w:ascii="Calibri" w:hAnsi="Calibri" w:cs="Calibri"/>
              </w:rPr>
              <w:t>i</w:t>
            </w:r>
            <w:proofErr w:type="spellEnd"/>
            <w:r>
              <w:rPr>
                <w:rFonts w:ascii="Calibri" w:hAnsi="Calibri" w:cs="Calibri"/>
              </w:rPr>
              <w:t xml:space="preserve">) Biomass Production derived from </w:t>
            </w:r>
            <w:r w:rsidRPr="003C74F1">
              <w:rPr>
                <w:rFonts w:ascii="Calibri" w:hAnsi="Calibri" w:cs="Calibri"/>
              </w:rPr>
              <w:t>sugar cane or sorghum cane</w:t>
            </w:r>
            <w:r>
              <w:rPr>
                <w:rFonts w:ascii="Calibri" w:hAnsi="Calibri" w:cs="Calibri"/>
              </w:rPr>
              <w:t xml:space="preserve"> -such permit shall be issued by SADER-, (ii) all other p</w:t>
            </w:r>
            <w:r w:rsidRPr="003C74F1">
              <w:rPr>
                <w:rFonts w:ascii="Calibri" w:hAnsi="Calibri" w:cs="Calibri"/>
              </w:rPr>
              <w:t>roduction, import, export, storage, transportation, marketing</w:t>
            </w:r>
            <w:r>
              <w:rPr>
                <w:rFonts w:ascii="Calibri" w:hAnsi="Calibri" w:cs="Calibri"/>
              </w:rPr>
              <w:t xml:space="preserve">, </w:t>
            </w:r>
            <w:r w:rsidRPr="003C74F1">
              <w:rPr>
                <w:rFonts w:ascii="Calibri" w:hAnsi="Calibri" w:cs="Calibri"/>
              </w:rPr>
              <w:t xml:space="preserve">distribution and </w:t>
            </w:r>
            <w:r>
              <w:rPr>
                <w:rFonts w:ascii="Calibri" w:hAnsi="Calibri" w:cs="Calibri"/>
              </w:rPr>
              <w:t>retail</w:t>
            </w:r>
            <w:r w:rsidRPr="003C74F1">
              <w:rPr>
                <w:rFonts w:ascii="Calibri" w:hAnsi="Calibri" w:cs="Calibri"/>
              </w:rPr>
              <w:t xml:space="preserve"> of biofuels</w:t>
            </w:r>
            <w:r w:rsidR="00D650D9">
              <w:rPr>
                <w:rFonts w:ascii="Calibri" w:hAnsi="Calibri" w:cs="Calibri"/>
              </w:rPr>
              <w:t xml:space="preserve"> -such permit shall be issued by SENER-</w:t>
            </w:r>
            <w:r w:rsidRPr="003C74F1">
              <w:rPr>
                <w:rFonts w:ascii="Calibri" w:hAnsi="Calibri" w:cs="Calibri"/>
              </w:rPr>
              <w:t>.</w:t>
            </w:r>
          </w:p>
          <w:p w14:paraId="5F830C2B" w14:textId="5FEA0E22" w:rsidR="003C74F1" w:rsidRDefault="003C74F1" w:rsidP="003C74F1">
            <w:pPr>
              <w:rPr>
                <w:rFonts w:ascii="Calibri" w:hAnsi="Calibri" w:cs="Calibri"/>
              </w:rPr>
            </w:pPr>
            <w:r>
              <w:rPr>
                <w:rFonts w:ascii="Calibri" w:hAnsi="Calibri" w:cs="Calibri"/>
              </w:rPr>
              <w:t xml:space="preserve">Furthermore, article 26 excludes aircraft biofuels from retail. Aircraft biofuels’ permit shall only encompass biofuels distribution to </w:t>
            </w:r>
            <w:r w:rsidR="00132D3D">
              <w:rPr>
                <w:rFonts w:ascii="Calibri" w:hAnsi="Calibri" w:cs="Calibri"/>
              </w:rPr>
              <w:t>(</w:t>
            </w:r>
            <w:proofErr w:type="spellStart"/>
            <w:r w:rsidR="00132D3D">
              <w:rPr>
                <w:rFonts w:ascii="Calibri" w:hAnsi="Calibri" w:cs="Calibri"/>
              </w:rPr>
              <w:t>i</w:t>
            </w:r>
            <w:proofErr w:type="spellEnd"/>
            <w:r w:rsidR="00132D3D">
              <w:rPr>
                <w:rFonts w:ascii="Calibri" w:hAnsi="Calibri" w:cs="Calibri"/>
              </w:rPr>
              <w:t>)</w:t>
            </w:r>
            <w:r w:rsidRPr="003C74F1">
              <w:rPr>
                <w:rFonts w:ascii="Calibri" w:hAnsi="Calibri" w:cs="Calibri"/>
              </w:rPr>
              <w:t xml:space="preserve"> Air carriers;</w:t>
            </w:r>
            <w:r>
              <w:rPr>
                <w:rFonts w:ascii="Calibri" w:hAnsi="Calibri" w:cs="Calibri"/>
              </w:rPr>
              <w:t xml:space="preserve"> </w:t>
            </w:r>
            <w:r w:rsidR="00132D3D">
              <w:rPr>
                <w:rFonts w:ascii="Calibri" w:hAnsi="Calibri" w:cs="Calibri"/>
              </w:rPr>
              <w:t>(ii)</w:t>
            </w:r>
            <w:r w:rsidRPr="003C74F1">
              <w:rPr>
                <w:rFonts w:ascii="Calibri" w:hAnsi="Calibri" w:cs="Calibri"/>
              </w:rPr>
              <w:t xml:space="preserve"> Air operators; and</w:t>
            </w:r>
            <w:r>
              <w:rPr>
                <w:rFonts w:ascii="Calibri" w:hAnsi="Calibri" w:cs="Calibri"/>
              </w:rPr>
              <w:t xml:space="preserve"> </w:t>
            </w:r>
            <w:r w:rsidR="00132D3D">
              <w:rPr>
                <w:rFonts w:ascii="Calibri" w:hAnsi="Calibri" w:cs="Calibri"/>
              </w:rPr>
              <w:t>(iii)</w:t>
            </w:r>
            <w:r w:rsidRPr="003C74F1">
              <w:rPr>
                <w:rFonts w:ascii="Calibri" w:hAnsi="Calibri" w:cs="Calibri"/>
              </w:rPr>
              <w:t xml:space="preserve"> Third parties for activities other than aeronautical activities</w:t>
            </w:r>
            <w:r>
              <w:rPr>
                <w:rFonts w:ascii="Calibri" w:hAnsi="Calibri" w:cs="Calibri"/>
              </w:rPr>
              <w:t xml:space="preserve"> (which will require prior authorization from the Ministry of Infrastructure, Communications and Transport)</w:t>
            </w:r>
            <w:r w:rsidRPr="003C74F1">
              <w:rPr>
                <w:rFonts w:ascii="Calibri" w:hAnsi="Calibri" w:cs="Calibri"/>
              </w:rPr>
              <w:t>.</w:t>
            </w:r>
          </w:p>
          <w:p w14:paraId="6AB8498E" w14:textId="4F903BA4" w:rsidR="003C74F1" w:rsidRPr="00C37D48" w:rsidRDefault="00D650D9" w:rsidP="003C74F1">
            <w:pPr>
              <w:rPr>
                <w:rFonts w:ascii="Calibri" w:hAnsi="Calibri" w:cs="Calibri"/>
              </w:rPr>
            </w:pPr>
            <w:r>
              <w:rPr>
                <w:rFonts w:ascii="Calibri" w:hAnsi="Calibri" w:cs="Calibri"/>
              </w:rPr>
              <w:t>Finally, a</w:t>
            </w:r>
            <w:r w:rsidR="003C74F1">
              <w:rPr>
                <w:rFonts w:ascii="Calibri" w:hAnsi="Calibri" w:cs="Calibri"/>
              </w:rPr>
              <w:t>rticle 25 of the law provides that “</w:t>
            </w:r>
            <w:r w:rsidR="003C74F1" w:rsidRPr="003C74F1">
              <w:rPr>
                <w:rFonts w:ascii="Calibri" w:hAnsi="Calibri" w:cs="Calibri"/>
              </w:rPr>
              <w:t>The granting of permits by SADER and SENER shall be governed by the provisions of this</w:t>
            </w:r>
            <w:r w:rsidR="003C74F1">
              <w:rPr>
                <w:rFonts w:ascii="Calibri" w:hAnsi="Calibri" w:cs="Calibri"/>
              </w:rPr>
              <w:t xml:space="preserve"> </w:t>
            </w:r>
            <w:r w:rsidR="003C74F1" w:rsidRPr="003C74F1">
              <w:rPr>
                <w:rFonts w:ascii="Calibri" w:hAnsi="Calibri" w:cs="Calibri"/>
              </w:rPr>
              <w:t>Law, its Regulations and the applicable administrative provisions</w:t>
            </w:r>
            <w:r w:rsidR="003C74F1">
              <w:rPr>
                <w:rFonts w:ascii="Calibri" w:hAnsi="Calibri" w:cs="Calibri"/>
              </w:rPr>
              <w:t xml:space="preserve">”, however, as of the date of completion of this survey, neither the Law’s Regulations </w:t>
            </w:r>
            <w:r>
              <w:rPr>
                <w:rFonts w:ascii="Calibri" w:hAnsi="Calibri" w:cs="Calibri"/>
              </w:rPr>
              <w:t>nor</w:t>
            </w:r>
            <w:r w:rsidR="003C74F1">
              <w:rPr>
                <w:rFonts w:ascii="Calibri" w:hAnsi="Calibri" w:cs="Calibri"/>
              </w:rPr>
              <w:t xml:space="preserve"> its corresponding </w:t>
            </w:r>
            <w:r>
              <w:rPr>
                <w:rFonts w:ascii="Calibri" w:hAnsi="Calibri" w:cs="Calibri"/>
              </w:rPr>
              <w:t>administrative</w:t>
            </w:r>
            <w:r w:rsidR="003C74F1">
              <w:rPr>
                <w:rFonts w:ascii="Calibri" w:hAnsi="Calibri" w:cs="Calibri"/>
              </w:rPr>
              <w:t xml:space="preserve"> provisions have been issued.</w:t>
            </w:r>
            <w:r>
              <w:rPr>
                <w:rFonts w:ascii="Calibri" w:hAnsi="Calibri" w:cs="Calibri"/>
              </w:rPr>
              <w:t xml:space="preserve"> Hence, it cannot be confirmed whether complimentary instruments to the law will provide sector-specific regulation.</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327BAF7" w:rsidR="004F276F" w:rsidRPr="00C37D48" w:rsidRDefault="00132D3D"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463C6634" w:rsidR="004F276F" w:rsidRPr="00C37D48" w:rsidRDefault="00132D3D"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1629C162" w:rsidR="004F276F" w:rsidRPr="00C37D48" w:rsidRDefault="00132D3D"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915F575" w14:textId="700B41B7" w:rsidR="00711F61" w:rsidRDefault="00132D3D" w:rsidP="00C37D48">
            <w:pPr>
              <w:rPr>
                <w:rFonts w:ascii="Calibri" w:hAnsi="Calibri" w:cs="Calibri"/>
              </w:rPr>
            </w:pPr>
            <w:r>
              <w:rPr>
                <w:rFonts w:ascii="Calibri" w:hAnsi="Calibri" w:cs="Calibri"/>
              </w:rPr>
              <w:t>Article 36 provides that SENER and SADER have the authority to revoke permits and authorizations they have issued upon causes such as: breach of the permit’s terms, unauthorized modification of the information presented to the authorities, discriminatory practices against users, failure to comply with tariff and price regulation, failure to comply with Officinal Mexican Norms (mandatory technical standards), a</w:t>
            </w:r>
            <w:r w:rsidRPr="00132D3D">
              <w:rPr>
                <w:rFonts w:ascii="Calibri" w:hAnsi="Calibri" w:cs="Calibri"/>
              </w:rPr>
              <w:t>ssignment or encumbrance of permits</w:t>
            </w:r>
            <w:r>
              <w:rPr>
                <w:rFonts w:ascii="Calibri" w:hAnsi="Calibri" w:cs="Calibri"/>
              </w:rPr>
              <w:t>, failure to comply with payment obligations, failure to comply with determinations issued by competent authorities.</w:t>
            </w:r>
          </w:p>
          <w:p w14:paraId="643668F7" w14:textId="67A0EC6D" w:rsidR="00132D3D" w:rsidRPr="00C37D48" w:rsidRDefault="00132D3D" w:rsidP="00C37D48">
            <w:pPr>
              <w:rPr>
                <w:rFonts w:ascii="Calibri" w:hAnsi="Calibri" w:cs="Calibri"/>
              </w:rPr>
            </w:pPr>
            <w:r>
              <w:rPr>
                <w:rFonts w:ascii="Calibri" w:hAnsi="Calibri" w:cs="Calibri"/>
              </w:rPr>
              <w:t>Articles 38 to 42 of the Law provide standards for the application of monetary fines</w:t>
            </w:r>
            <w:r w:rsidR="005B4A3E">
              <w:rPr>
                <w:rFonts w:ascii="Calibri" w:hAnsi="Calibri" w:cs="Calibri"/>
              </w:rPr>
              <w:t>, as well as for the closing of establishments</w:t>
            </w:r>
            <w:r>
              <w:rPr>
                <w:rFonts w:ascii="Calibri" w:hAnsi="Calibri" w:cs="Calibri"/>
              </w:rPr>
              <w:t xml:space="preserve">. These articles provide that breach of the Law, its Regulations or administrative standards, may give rise to the imposition of fines ranging from 1,000 to </w:t>
            </w:r>
            <w:r w:rsidR="005B4A3E">
              <w:rPr>
                <w:rFonts w:ascii="Calibri" w:hAnsi="Calibri" w:cs="Calibri"/>
              </w:rPr>
              <w:t>2</w:t>
            </w:r>
            <w:r>
              <w:rPr>
                <w:rFonts w:ascii="Calibri" w:hAnsi="Calibri" w:cs="Calibri"/>
              </w:rPr>
              <w:t xml:space="preserve">00,000 </w:t>
            </w:r>
            <w:r w:rsidR="005B4A3E">
              <w:rPr>
                <w:rFonts w:ascii="Calibri" w:hAnsi="Calibri" w:cs="Calibri"/>
              </w:rPr>
              <w:t xml:space="preserve">times the Updated Unit of Measurement (Unidad de </w:t>
            </w:r>
            <w:proofErr w:type="spellStart"/>
            <w:r w:rsidR="005B4A3E">
              <w:rPr>
                <w:rFonts w:ascii="Calibri" w:hAnsi="Calibri" w:cs="Calibri"/>
              </w:rPr>
              <w:t>Medida</w:t>
            </w:r>
            <w:proofErr w:type="spellEnd"/>
            <w:r w:rsidR="005B4A3E">
              <w:rPr>
                <w:rFonts w:ascii="Calibri" w:hAnsi="Calibri" w:cs="Calibri"/>
              </w:rPr>
              <w:t xml:space="preserve"> </w:t>
            </w:r>
            <w:proofErr w:type="spellStart"/>
            <w:r w:rsidR="005B4A3E">
              <w:rPr>
                <w:rFonts w:ascii="Calibri" w:hAnsi="Calibri" w:cs="Calibri"/>
              </w:rPr>
              <w:t>Actualizada</w:t>
            </w:r>
            <w:proofErr w:type="spellEnd"/>
            <w:r w:rsidR="005B4A3E">
              <w:rPr>
                <w:rFonts w:ascii="Calibri" w:hAnsi="Calibri" w:cs="Calibri"/>
              </w:rPr>
              <w:t xml:space="preserve">) </w:t>
            </w:r>
            <w:r>
              <w:rPr>
                <w:rFonts w:ascii="Calibri" w:hAnsi="Calibri" w:cs="Calibri"/>
              </w:rPr>
              <w:t xml:space="preserve">(approximately $ </w:t>
            </w:r>
            <w:r w:rsidR="005B4A3E">
              <w:rPr>
                <w:rFonts w:ascii="Calibri" w:hAnsi="Calibri" w:cs="Calibri"/>
              </w:rPr>
              <w:t>113,140</w:t>
            </w:r>
            <w:r>
              <w:rPr>
                <w:rFonts w:ascii="Calibri" w:hAnsi="Calibri" w:cs="Calibri"/>
              </w:rPr>
              <w:t xml:space="preserve"> MXN to $</w:t>
            </w:r>
            <w:r w:rsidR="005B4A3E">
              <w:rPr>
                <w:rFonts w:ascii="Calibri" w:hAnsi="Calibri" w:cs="Calibri"/>
              </w:rPr>
              <w:t>22,628,000</w:t>
            </w:r>
            <w:r>
              <w:rPr>
                <w:rFonts w:ascii="Calibri" w:hAnsi="Calibri" w:cs="Calibri"/>
              </w:rPr>
              <w:t xml:space="preserve"> MXN)</w:t>
            </w:r>
            <w:r w:rsidR="005B4A3E">
              <w:rPr>
                <w:rFonts w:ascii="Calibri" w:hAnsi="Calibri" w:cs="Calibri"/>
              </w:rPr>
              <w:t>, depending on the type of breach, as well as on (</w:t>
            </w:r>
            <w:proofErr w:type="spellStart"/>
            <w:r w:rsidR="005B4A3E">
              <w:rPr>
                <w:rFonts w:ascii="Calibri" w:hAnsi="Calibri" w:cs="Calibri"/>
              </w:rPr>
              <w:t>i</w:t>
            </w:r>
            <w:proofErr w:type="spellEnd"/>
            <w:r w:rsidR="005B4A3E">
              <w:rPr>
                <w:rFonts w:ascii="Calibri" w:hAnsi="Calibri" w:cs="Calibri"/>
              </w:rPr>
              <w:t xml:space="preserve">) the damages produced by the breach, (ii) the intentionality of the breach, (iii) the severity of the impact of the breach and (iv) </w:t>
            </w:r>
            <w:r w:rsidR="005B4A3E" w:rsidRPr="005B4A3E">
              <w:rPr>
                <w:rFonts w:ascii="Calibri" w:hAnsi="Calibri" w:cs="Calibri"/>
              </w:rPr>
              <w:t>recidivism of the offender</w:t>
            </w:r>
            <w:r w:rsidR="005B4A3E">
              <w:rPr>
                <w:rFonts w:ascii="Calibri" w:hAnsi="Calibri" w:cs="Calibri"/>
              </w:rPr>
              <w:t>.</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29F1CF0" w:rsidR="001F30DE" w:rsidRPr="00C37D48" w:rsidRDefault="00A076AB"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DCF22E4" w:rsidR="001F30DE" w:rsidRPr="00C37D48" w:rsidRDefault="005B4A3E"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5E1D7E01" w:rsidR="004F48E8" w:rsidRPr="00C37D48" w:rsidRDefault="005B4A3E"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C77C767" w:rsidR="000A1365" w:rsidRPr="00C37D48" w:rsidRDefault="005B4A3E"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0A29887F" w:rsidR="00850F36" w:rsidRPr="00C37D48" w:rsidRDefault="005B4A3E"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6662DF3" w:rsidR="00850F36" w:rsidRPr="00C37D48" w:rsidRDefault="005B4A3E"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8FDBDDC" w:rsidR="00850F36" w:rsidRPr="00C37D48" w:rsidRDefault="005B4A3E"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4969810E" w:rsidR="00850F36" w:rsidRPr="00C37D48" w:rsidRDefault="005B4A3E"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6F88D1A5" w:rsidR="00850F36" w:rsidRPr="00C37D48" w:rsidRDefault="005B4A3E"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6EDFA5CB" w:rsidR="00850F36" w:rsidRPr="00C37D48" w:rsidRDefault="005B4A3E"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14E84A85" w:rsidR="00850F36" w:rsidRPr="00C37D48" w:rsidRDefault="005B4A3E"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2E7F87D7" w:rsidR="00850F36" w:rsidRPr="00C37D48" w:rsidRDefault="005B4A3E"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6D8B0D6F" w:rsidR="00850F36" w:rsidRPr="00C37D48" w:rsidRDefault="005B4A3E"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145E23A" w:rsidR="00850F36" w:rsidRPr="00C37D48" w:rsidRDefault="005B4A3E"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10492C6" w:rsidR="00850F36" w:rsidRPr="00C37D48" w:rsidRDefault="005B4A3E"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49E694FB"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2DEE2D50" w:rsidR="00850F36" w:rsidRPr="00C37D48" w:rsidRDefault="009C0B3B"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049DBE2" w14:textId="77777777" w:rsidR="009C0B3B" w:rsidRDefault="005B4A3E" w:rsidP="00C37D48">
            <w:pPr>
              <w:rPr>
                <w:rFonts w:ascii="Calibri" w:hAnsi="Calibri" w:cs="Calibri"/>
              </w:rPr>
            </w:pPr>
            <w:r>
              <w:rPr>
                <w:rFonts w:ascii="Calibri" w:hAnsi="Calibri" w:cs="Calibri"/>
              </w:rPr>
              <w:t>Transition related targets are referenced in article</w:t>
            </w:r>
            <w:r w:rsidR="009C0B3B">
              <w:rPr>
                <w:rFonts w:ascii="Calibri" w:hAnsi="Calibri" w:cs="Calibri"/>
              </w:rPr>
              <w:t>s 11 to 16 of the Law. These articles provide that:</w:t>
            </w:r>
          </w:p>
          <w:p w14:paraId="20CA8168" w14:textId="20D93FD5" w:rsidR="009C0B3B" w:rsidRPr="009C0B3B" w:rsidRDefault="009C0B3B" w:rsidP="009C0B3B">
            <w:pPr>
              <w:pStyle w:val="ListParagraph"/>
              <w:numPr>
                <w:ilvl w:val="0"/>
                <w:numId w:val="49"/>
              </w:numPr>
              <w:rPr>
                <w:rFonts w:ascii="Calibri" w:hAnsi="Calibri" w:cs="Calibri"/>
              </w:rPr>
            </w:pPr>
            <w:r w:rsidRPr="009C0B3B">
              <w:rPr>
                <w:rFonts w:ascii="Calibri" w:hAnsi="Calibri" w:cs="Calibri"/>
              </w:rPr>
              <w:t>The National Energy Transition Strategy (</w:t>
            </w:r>
            <w:proofErr w:type="spellStart"/>
            <w:r w:rsidRPr="009C0B3B">
              <w:rPr>
                <w:rFonts w:ascii="Calibri" w:hAnsi="Calibri" w:cs="Calibri"/>
              </w:rPr>
              <w:t>Estrategia</w:t>
            </w:r>
            <w:proofErr w:type="spellEnd"/>
            <w:r w:rsidRPr="009C0B3B">
              <w:rPr>
                <w:rFonts w:ascii="Calibri" w:hAnsi="Calibri" w:cs="Calibri"/>
              </w:rPr>
              <w:t xml:space="preserve"> Nacional de </w:t>
            </w:r>
            <w:proofErr w:type="spellStart"/>
            <w:r w:rsidRPr="009C0B3B">
              <w:rPr>
                <w:rFonts w:ascii="Calibri" w:hAnsi="Calibri" w:cs="Calibri"/>
              </w:rPr>
              <w:t>Transición</w:t>
            </w:r>
            <w:proofErr w:type="spellEnd"/>
            <w:r w:rsidRPr="009C0B3B">
              <w:rPr>
                <w:rFonts w:ascii="Calibri" w:hAnsi="Calibri" w:cs="Calibri"/>
              </w:rPr>
              <w:t xml:space="preserve"> Energética) must include targets for biofuels production, </w:t>
            </w:r>
            <w:r>
              <w:rPr>
                <w:rFonts w:ascii="Calibri" w:hAnsi="Calibri" w:cs="Calibri"/>
              </w:rPr>
              <w:t>with at least: (</w:t>
            </w:r>
            <w:proofErr w:type="spellStart"/>
            <w:r>
              <w:rPr>
                <w:rFonts w:ascii="Calibri" w:hAnsi="Calibri" w:cs="Calibri"/>
              </w:rPr>
              <w:t>i</w:t>
            </w:r>
            <w:proofErr w:type="spellEnd"/>
            <w:r>
              <w:rPr>
                <w:rFonts w:ascii="Calibri" w:hAnsi="Calibri" w:cs="Calibri"/>
              </w:rPr>
              <w:t>) short-term targets for direct use of biomass or biofuels, (ii) annual targets for the substitution of fossil fuels through biofuels, (iii) an estimate of required financial resources and finance sources for the execution of target compliance, (vi) responsibility setting amongst public authorities within their areas of competence, (v) execution, review and result evaluation time frames.</w:t>
            </w:r>
          </w:p>
        </w:tc>
      </w:tr>
      <w:tr w:rsidR="009C0B3B" w:rsidRPr="00C37D48" w14:paraId="59AA7EBD" w14:textId="77777777" w:rsidTr="00C37D48">
        <w:tblPrEx>
          <w:tblLook w:val="04A0" w:firstRow="1" w:lastRow="0" w:firstColumn="1" w:lastColumn="0" w:noHBand="0" w:noVBand="1"/>
        </w:tblPrEx>
        <w:trPr>
          <w:trHeight w:val="1020"/>
        </w:trPr>
        <w:tc>
          <w:tcPr>
            <w:tcW w:w="1066" w:type="dxa"/>
            <w:vAlign w:val="center"/>
          </w:tcPr>
          <w:p w14:paraId="0779E819" w14:textId="77777777" w:rsidR="009C0B3B" w:rsidRPr="00C37D48" w:rsidRDefault="009C0B3B" w:rsidP="00C37D48">
            <w:pPr>
              <w:rPr>
                <w:rFonts w:ascii="Calibri" w:hAnsi="Calibri" w:cs="Calibri"/>
              </w:rPr>
            </w:pPr>
          </w:p>
        </w:tc>
        <w:tc>
          <w:tcPr>
            <w:tcW w:w="9369" w:type="dxa"/>
            <w:gridSpan w:val="5"/>
            <w:shd w:val="clear" w:color="auto" w:fill="auto"/>
            <w:vAlign w:val="center"/>
          </w:tcPr>
          <w:p w14:paraId="6AC9C57F" w14:textId="77777777" w:rsidR="009C0B3B" w:rsidRDefault="009C0B3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9728860" w:rsidR="000A1365" w:rsidRPr="00C37D48" w:rsidRDefault="009C0B3B"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54D1E85" w:rsidR="00C81DE5" w:rsidRPr="00C37D48" w:rsidRDefault="009C0B3B"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A98A099" w:rsidR="000A1365" w:rsidRPr="00C37D48" w:rsidRDefault="009C0B3B"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C55BD9C" w:rsidR="000A1365" w:rsidRPr="00C37D48" w:rsidRDefault="009C0B3B"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057F412" w:rsidR="00D9431B" w:rsidRPr="00C37D48" w:rsidRDefault="009C0B3B"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393B2DAE" w:rsidR="00890032" w:rsidRPr="00C37D48" w:rsidRDefault="009C0B3B"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B9E1207" w14:textId="77777777" w:rsidR="00474855" w:rsidRDefault="009C0B3B" w:rsidP="00C37D48">
            <w:pPr>
              <w:rPr>
                <w:rFonts w:ascii="Calibri" w:hAnsi="Calibri" w:cs="Calibri"/>
              </w:rPr>
            </w:pPr>
            <w:r>
              <w:rPr>
                <w:rFonts w:ascii="Calibri" w:hAnsi="Calibri" w:cs="Calibri"/>
              </w:rPr>
              <w:t xml:space="preserve">The Law requires </w:t>
            </w:r>
            <w:r w:rsidR="00C05340">
              <w:rPr>
                <w:rFonts w:ascii="Calibri" w:hAnsi="Calibri" w:cs="Calibri"/>
              </w:rPr>
              <w:t xml:space="preserve">SENER (who </w:t>
            </w:r>
            <w:proofErr w:type="gramStart"/>
            <w:r w:rsidR="00C05340">
              <w:rPr>
                <w:rFonts w:ascii="Calibri" w:hAnsi="Calibri" w:cs="Calibri"/>
              </w:rPr>
              <w:t>is in charge of</w:t>
            </w:r>
            <w:proofErr w:type="gramEnd"/>
            <w:r w:rsidR="00C05340">
              <w:rPr>
                <w:rFonts w:ascii="Calibri" w:hAnsi="Calibri" w:cs="Calibri"/>
              </w:rPr>
              <w:t xml:space="preserve"> formulating biofuels policy)</w:t>
            </w:r>
            <w:r>
              <w:rPr>
                <w:rFonts w:ascii="Calibri" w:hAnsi="Calibri" w:cs="Calibri"/>
              </w:rPr>
              <w:t xml:space="preserve"> entities to align </w:t>
            </w:r>
            <w:r w:rsidR="00C05340">
              <w:rPr>
                <w:rFonts w:ascii="Calibri" w:hAnsi="Calibri" w:cs="Calibri"/>
              </w:rPr>
              <w:t>its</w:t>
            </w:r>
            <w:r>
              <w:rPr>
                <w:rFonts w:ascii="Calibri" w:hAnsi="Calibri" w:cs="Calibri"/>
              </w:rPr>
              <w:t xml:space="preserve"> policy, plans and programs to the National Energy Transition Strategy (article 5, subsection </w:t>
            </w:r>
            <w:r w:rsidR="00C05340">
              <w:rPr>
                <w:rFonts w:ascii="Calibri" w:hAnsi="Calibri" w:cs="Calibri"/>
              </w:rPr>
              <w:t>VI).</w:t>
            </w:r>
          </w:p>
          <w:p w14:paraId="089BA419" w14:textId="2AC57BCF" w:rsidR="00C05340" w:rsidRPr="00C37D48" w:rsidRDefault="00C05340" w:rsidP="00C37D48">
            <w:pPr>
              <w:rPr>
                <w:rFonts w:ascii="Calibri" w:hAnsi="Calibri" w:cs="Calibri"/>
              </w:rPr>
            </w:pPr>
            <w:r>
              <w:rPr>
                <w:rFonts w:ascii="Calibri" w:hAnsi="Calibri" w:cs="Calibri"/>
              </w:rPr>
              <w:t>Targeted entities are required to meet transition targets provided in the National Energy Transition Strategy (articles 11 to 16).</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752B72C3" w:rsidR="003618D4" w:rsidRPr="00C37D48" w:rsidRDefault="00C05340"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EDE9662" w:rsidR="003618D4" w:rsidRPr="00C37D48" w:rsidRDefault="00C05340"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5C3BE4AC" w:rsidR="003618D4" w:rsidRPr="00C37D48" w:rsidRDefault="00C05340"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0C087BC" w:rsidR="003618D4" w:rsidRPr="00C37D48" w:rsidRDefault="00C05340"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523E453" w:rsidR="003618D4" w:rsidRPr="00C37D48" w:rsidRDefault="00C05340"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CFB4AB9" w:rsidR="003618D4" w:rsidRPr="00C37D48" w:rsidRDefault="00C05340"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1551D443" w:rsidR="005733AF" w:rsidRPr="00C37D48" w:rsidRDefault="00C05340" w:rsidP="00C37D48">
            <w:pPr>
              <w:rPr>
                <w:rFonts w:ascii="Calibri" w:hAnsi="Calibri" w:cs="Calibri"/>
              </w:rPr>
            </w:pPr>
            <w:r>
              <w:rPr>
                <w:rFonts w:ascii="Calibri" w:hAnsi="Calibri" w:cs="Calibri"/>
              </w:rPr>
              <w:t>Articles 11 to 16 of the Law provide that biofuels policy, plans and programmes must be aligned to the National Energy Transition Strategy’s targets.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3843D777" w:rsidR="00E7486E" w:rsidRPr="00C37D48" w:rsidRDefault="00C05340"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05BE7DAF"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BD0E73D"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DADD4F0" w:rsidR="00671EA4" w:rsidRPr="00C37D48" w:rsidRDefault="00C05340"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0CEB376" w:rsidR="00B610C2" w:rsidRPr="00610F28" w:rsidRDefault="00C05340"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4C77928" w:rsidR="00B610C2" w:rsidRPr="00610F28" w:rsidRDefault="00C05340"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37FAB5A" w:rsidR="00B610C2" w:rsidRPr="00610F28" w:rsidRDefault="00C05340"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3DD81E7" w:rsidR="00B610C2" w:rsidRPr="00610F28" w:rsidRDefault="00C05340"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3CD251A" w:rsidR="00B610C2" w:rsidRPr="00610F28" w:rsidRDefault="00C05340"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0153A66" w:rsidR="00B610C2" w:rsidRPr="00610F28" w:rsidRDefault="00C05340"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96E40BB" w:rsidR="00B610C2" w:rsidRPr="00610F28" w:rsidRDefault="00C05340"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5B6326D" w:rsidR="00B610C2" w:rsidRPr="00610F28" w:rsidRDefault="00C05340"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9B98066" w:rsidR="00B610C2" w:rsidRPr="00610F28" w:rsidRDefault="00C05340"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C7FAC30" w:rsidR="00B610C2" w:rsidRPr="00610F28" w:rsidRDefault="00C05340"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7BC156" w14:textId="77777777" w:rsidR="006D66C3" w:rsidRDefault="006D66C3" w:rsidP="00874E39">
      <w:r>
        <w:separator/>
      </w:r>
    </w:p>
  </w:endnote>
  <w:endnote w:type="continuationSeparator" w:id="0">
    <w:p w14:paraId="4281106A" w14:textId="77777777" w:rsidR="006D66C3" w:rsidRDefault="006D66C3" w:rsidP="00874E39">
      <w:r>
        <w:continuationSeparator/>
      </w:r>
    </w:p>
  </w:endnote>
  <w:endnote w:type="continuationNotice" w:id="1">
    <w:p w14:paraId="27FFAADC" w14:textId="77777777" w:rsidR="006D66C3" w:rsidRDefault="006D66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3F765A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3C9006" w14:textId="77777777" w:rsidR="006D66C3" w:rsidRDefault="006D66C3" w:rsidP="00874E39">
      <w:r>
        <w:separator/>
      </w:r>
    </w:p>
  </w:footnote>
  <w:footnote w:type="continuationSeparator" w:id="0">
    <w:p w14:paraId="7D81BC88" w14:textId="77777777" w:rsidR="006D66C3" w:rsidRDefault="006D66C3" w:rsidP="00874E39">
      <w:r>
        <w:continuationSeparator/>
      </w:r>
    </w:p>
  </w:footnote>
  <w:footnote w:type="continuationNotice" w:id="1">
    <w:p w14:paraId="7F19E506" w14:textId="77777777" w:rsidR="006D66C3" w:rsidRDefault="006D66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C9D305D"/>
    <w:multiLevelType w:val="hybridMultilevel"/>
    <w:tmpl w:val="ACD2A292"/>
    <w:lvl w:ilvl="0" w:tplc="D8586824">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6DB3A06"/>
    <w:multiLevelType w:val="hybridMultilevel"/>
    <w:tmpl w:val="94DE6EDA"/>
    <w:lvl w:ilvl="0" w:tplc="4AA4CCDC">
      <w:start w:val="1"/>
      <w:numFmt w:val="lowerRoman"/>
      <w:lvlText w:val="%1."/>
      <w:lvlJc w:val="left"/>
      <w:pPr>
        <w:ind w:left="770" w:hanging="720"/>
      </w:pPr>
      <w:rPr>
        <w:rFonts w:hint="default"/>
      </w:rPr>
    </w:lvl>
    <w:lvl w:ilvl="1" w:tplc="0C0A0019" w:tentative="1">
      <w:start w:val="1"/>
      <w:numFmt w:val="lowerLetter"/>
      <w:lvlText w:val="%2."/>
      <w:lvlJc w:val="left"/>
      <w:pPr>
        <w:ind w:left="1130" w:hanging="360"/>
      </w:pPr>
    </w:lvl>
    <w:lvl w:ilvl="2" w:tplc="0C0A001B" w:tentative="1">
      <w:start w:val="1"/>
      <w:numFmt w:val="lowerRoman"/>
      <w:lvlText w:val="%3."/>
      <w:lvlJc w:val="right"/>
      <w:pPr>
        <w:ind w:left="1850" w:hanging="180"/>
      </w:pPr>
    </w:lvl>
    <w:lvl w:ilvl="3" w:tplc="0C0A000F" w:tentative="1">
      <w:start w:val="1"/>
      <w:numFmt w:val="decimal"/>
      <w:lvlText w:val="%4."/>
      <w:lvlJc w:val="left"/>
      <w:pPr>
        <w:ind w:left="2570" w:hanging="360"/>
      </w:pPr>
    </w:lvl>
    <w:lvl w:ilvl="4" w:tplc="0C0A0019" w:tentative="1">
      <w:start w:val="1"/>
      <w:numFmt w:val="lowerLetter"/>
      <w:lvlText w:val="%5."/>
      <w:lvlJc w:val="left"/>
      <w:pPr>
        <w:ind w:left="3290" w:hanging="360"/>
      </w:pPr>
    </w:lvl>
    <w:lvl w:ilvl="5" w:tplc="0C0A001B" w:tentative="1">
      <w:start w:val="1"/>
      <w:numFmt w:val="lowerRoman"/>
      <w:lvlText w:val="%6."/>
      <w:lvlJc w:val="right"/>
      <w:pPr>
        <w:ind w:left="4010" w:hanging="180"/>
      </w:pPr>
    </w:lvl>
    <w:lvl w:ilvl="6" w:tplc="0C0A000F" w:tentative="1">
      <w:start w:val="1"/>
      <w:numFmt w:val="decimal"/>
      <w:lvlText w:val="%7."/>
      <w:lvlJc w:val="left"/>
      <w:pPr>
        <w:ind w:left="4730" w:hanging="360"/>
      </w:pPr>
    </w:lvl>
    <w:lvl w:ilvl="7" w:tplc="0C0A0019" w:tentative="1">
      <w:start w:val="1"/>
      <w:numFmt w:val="lowerLetter"/>
      <w:lvlText w:val="%8."/>
      <w:lvlJc w:val="left"/>
      <w:pPr>
        <w:ind w:left="5450" w:hanging="360"/>
      </w:pPr>
    </w:lvl>
    <w:lvl w:ilvl="8" w:tplc="0C0A001B" w:tentative="1">
      <w:start w:val="1"/>
      <w:numFmt w:val="lowerRoman"/>
      <w:lvlText w:val="%9."/>
      <w:lvlJc w:val="right"/>
      <w:pPr>
        <w:ind w:left="6170" w:hanging="180"/>
      </w:p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1"/>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847213272">
    <w:abstractNumId w:val="19"/>
  </w:num>
  <w:num w:numId="50" w16cid:durableId="749280650">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84A"/>
    <w:rsid w:val="0011644D"/>
    <w:rsid w:val="00116A94"/>
    <w:rsid w:val="001174BF"/>
    <w:rsid w:val="001206CE"/>
    <w:rsid w:val="001221BA"/>
    <w:rsid w:val="00122504"/>
    <w:rsid w:val="00122733"/>
    <w:rsid w:val="00123F5C"/>
    <w:rsid w:val="00124C48"/>
    <w:rsid w:val="00132D3D"/>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1B5"/>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92C"/>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74F1"/>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811"/>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A3E"/>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25AB"/>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647"/>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6C3"/>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4523"/>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0B3B"/>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6AB"/>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E6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273"/>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340"/>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35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0D9"/>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84C"/>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F87"/>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2FC"/>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11584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9501595">
      <w:bodyDiv w:val="1"/>
      <w:marLeft w:val="0"/>
      <w:marRight w:val="0"/>
      <w:marTop w:val="0"/>
      <w:marBottom w:val="0"/>
      <w:divBdr>
        <w:top w:val="none" w:sz="0" w:space="0" w:color="auto"/>
        <w:left w:val="none" w:sz="0" w:space="0" w:color="auto"/>
        <w:bottom w:val="none" w:sz="0" w:space="0" w:color="auto"/>
        <w:right w:val="none" w:sz="0" w:space="0" w:color="auto"/>
      </w:divBdr>
    </w:div>
    <w:div w:id="47946330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50357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3765634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7213608/http://www.diputados.gob.mx/LeyesBiblio/pdf/LBio.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77723A72-87D0-4300-9E6F-12F881487281}"/>
</file>

<file path=docProps/app.xml><?xml version="1.0" encoding="utf-8"?>
<Properties xmlns="http://schemas.openxmlformats.org/officeDocument/2006/extended-properties" xmlns:vt="http://schemas.openxmlformats.org/officeDocument/2006/docPropsVTypes">
  <Template>Normal</Template>
  <TotalTime>2</TotalTime>
  <Pages>1</Pages>
  <Words>23399</Words>
  <Characters>128697</Characters>
  <Application>Microsoft Office Word</Application>
  <DocSecurity>0</DocSecurity>
  <Lines>1072</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2025-07-22T00:07:00Z</dcterms:created>
  <dcterms:modified xsi:type="dcterms:W3CDTF">2025-07-22T00:07:00Z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